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教育部关于建立健全高校师德建设长效机制的意见</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黑体" w:hAnsi="黑体" w:eastAsia="黑体" w:cs="黑体"/>
          <w:sz w:val="28"/>
          <w:szCs w:val="28"/>
        </w:rPr>
      </w:pPr>
      <w:r>
        <w:rPr>
          <w:rFonts w:hint="eastAsia" w:ascii="黑体" w:hAnsi="黑体" w:eastAsia="黑体" w:cs="黑体"/>
          <w:sz w:val="28"/>
          <w:szCs w:val="28"/>
        </w:rPr>
        <w:t>教师〔2014〕10号</w:t>
      </w:r>
    </w:p>
    <w:p>
      <w:pPr>
        <w:keepNext w:val="0"/>
        <w:keepLines w:val="0"/>
        <w:pageBreakBefore w:val="0"/>
        <w:widowControl w:val="0"/>
        <w:tabs>
          <w:tab w:val="left" w:pos="1972"/>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各省、自治区、直辖市教育厅（教委），有关部门（单位）教育司（局），新疆生产建设兵团教育局，部属各高等学校：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一、深刻认识新时期建立健全高校师德建设长效机制的重要性和紧迫性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二、建立健全高校师德建设长效机制的原则和要求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三、建立健全高校师德建设长效机制的主要举措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四、充分激发高校教师加强师德建设的自觉性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r>
        <w:rPr>
          <w:rFonts w:hint="eastAsia" w:ascii="仿宋" w:hAnsi="仿宋" w:eastAsia="仿宋" w:cs="仿宋"/>
          <w:sz w:val="32"/>
          <w:szCs w:val="32"/>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五、切实明确高校师德建设工作的责任主体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各地各校要根据实际制订具体的实施办法。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教育部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2014年9月29日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62C906-9F55-4B6D-95B9-4FDA33CB93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CE8F3A1-1191-40C1-8793-3473BF7C9FF6}"/>
  </w:font>
  <w:font w:name="仿宋">
    <w:panose1 w:val="02010609060101010101"/>
    <w:charset w:val="86"/>
    <w:family w:val="auto"/>
    <w:pitch w:val="default"/>
    <w:sig w:usb0="800002BF" w:usb1="38CF7CFA" w:usb2="00000016" w:usb3="00000000" w:csb0="00040001" w:csb1="00000000"/>
    <w:embedRegular r:id="rId3" w:fontKey="{7A10D988-1CB1-417F-A873-AE12CAC7204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37B5F"/>
    <w:rsid w:val="065C61B0"/>
    <w:rsid w:val="4066512E"/>
    <w:rsid w:val="44913E37"/>
    <w:rsid w:val="46DA1457"/>
    <w:rsid w:val="4BD06D20"/>
    <w:rsid w:val="5D037B5F"/>
    <w:rsid w:val="739A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2022-04-19T01:16:00Z</dcterms:created>
  <dc:creator>粉墨丹青</dc:creator>
  <cp:lastModifiedBy>ausu</cp:lastModifiedBy>
  <dcterms:modified xsi:type="dcterms:W3CDTF">2022-04-19T02:34:38Z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56573067C90642DEB023A06802B4A6E0</vt:lpwstr>
  </property>
</Properties>
</file>